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 w:val="32"/>
          <w:szCs w:val="32"/>
        </w:rPr>
        <w:t>达州市党内法规研究中心2020年立项课题汇总表</w:t>
      </w:r>
      <w:bookmarkEnd w:id="0"/>
    </w:p>
    <w:p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2"/>
        <w:tblW w:w="9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5103"/>
        <w:gridCol w:w="17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项目编号</w:t>
            </w:r>
          </w:p>
        </w:tc>
        <w:tc>
          <w:tcPr>
            <w:tcW w:w="5103" w:type="dxa"/>
          </w:tcPr>
          <w:p>
            <w:pPr>
              <w:spacing w:line="360" w:lineRule="auto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           项目名称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项目负责人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2020FG001Z</w:t>
            </w:r>
          </w:p>
        </w:tc>
        <w:tc>
          <w:tcPr>
            <w:tcW w:w="5103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万达开川渝统筹发展示范区协同创建的体制机制研究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王成端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6"/>
                <w:szCs w:val="28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2020FG002Z</w:t>
            </w:r>
          </w:p>
        </w:tc>
        <w:tc>
          <w:tcPr>
            <w:tcW w:w="5103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新时代中国共产党价值观与党内法规的相互促进研究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包志国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6"/>
                <w:szCs w:val="28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2020FG003Z</w:t>
            </w:r>
          </w:p>
        </w:tc>
        <w:tc>
          <w:tcPr>
            <w:tcW w:w="5103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习近平关于国家治理体系和治理能力现代化的重要论述研究</w:t>
            </w:r>
            <w:r>
              <w:rPr>
                <w:rFonts w:ascii="仿宋" w:hAnsi="仿宋" w:eastAsia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以高校治理体系和治理能力现代化为例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常  楠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6"/>
                <w:szCs w:val="28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2020FG001Y</w:t>
            </w:r>
          </w:p>
        </w:tc>
        <w:tc>
          <w:tcPr>
            <w:tcW w:w="5103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坚持从严治党在高校的实践研究-以川东北部分高校为例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张俊峰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6"/>
                <w:szCs w:val="28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2020FG002Y</w:t>
            </w:r>
          </w:p>
        </w:tc>
        <w:tc>
          <w:tcPr>
            <w:tcW w:w="5103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基于现代大学治理的高校廉洁教育研究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  天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6"/>
                <w:szCs w:val="28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2020FG003Y</w:t>
            </w:r>
          </w:p>
        </w:tc>
        <w:tc>
          <w:tcPr>
            <w:tcW w:w="5103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城市社区基层党组织党内法规执行力研究</w:t>
            </w:r>
            <w:r>
              <w:rPr>
                <w:rFonts w:ascii="仿宋" w:hAnsi="仿宋" w:eastAsia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以达州市为例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粱宇栋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6"/>
                <w:szCs w:val="28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2020FG004Y</w:t>
            </w:r>
          </w:p>
        </w:tc>
        <w:tc>
          <w:tcPr>
            <w:tcW w:w="5103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党内法规学科建设研究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杨浩强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6"/>
                <w:szCs w:val="28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2020FG005Y</w:t>
            </w:r>
          </w:p>
        </w:tc>
        <w:tc>
          <w:tcPr>
            <w:tcW w:w="5103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基层党组织执行党内法规存在问题及对策研究：以达州市为例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刘正全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6"/>
                <w:szCs w:val="28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2020FG006Y</w:t>
            </w:r>
          </w:p>
        </w:tc>
        <w:tc>
          <w:tcPr>
            <w:tcW w:w="5103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新时代高校院系民主集中制执行中的问题及对策研究-以达州市为例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董怀军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6"/>
                <w:szCs w:val="28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2020FG007Y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依托成渝地区双城经济圈经济总量“冲刺4000亿”、城市规模“建设双300”产业支撑的研究</w:t>
            </w:r>
            <w:r>
              <w:rPr>
                <w:rFonts w:ascii="仿宋" w:hAnsi="仿宋" w:eastAsia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以人才队伍建设为视点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姜  约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6"/>
                <w:szCs w:val="28"/>
              </w:rPr>
              <w:t>一般项目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D127F"/>
    <w:rsid w:val="5EB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2020-06-19T02:55:00Z</dcterms:created>
  <dc:creator>蝶隐主人</dc:creator>
  <cp:lastModifiedBy>蝶隐主人</cp:lastModifiedBy>
  <dcterms:modified xsi:type="dcterms:W3CDTF">2020-06-19T03:00:39Z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